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A9" w:rsidRDefault="002112A9" w:rsidP="00E13DF9">
      <w:pPr>
        <w:widowControl w:val="0"/>
        <w:spacing w:after="0" w:line="240" w:lineRule="auto"/>
        <w:jc w:val="center"/>
        <w:rPr>
          <w:rFonts w:ascii="Calibri" w:eastAsia="Times New Roman" w:hAnsi="Calibri" w:cs="Calibri"/>
          <w:b/>
          <w:sz w:val="24"/>
          <w:lang w:val="es-ES_tradnl" w:eastAsia="es-ES"/>
        </w:rPr>
      </w:pPr>
    </w:p>
    <w:p w:rsidR="009D1150" w:rsidRPr="002112A9"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sidR="001F3182">
        <w:rPr>
          <w:rFonts w:ascii="Calibri" w:eastAsia="Times New Roman" w:hAnsi="Calibri" w:cs="Calibri"/>
          <w:b/>
          <w:sz w:val="28"/>
          <w:lang w:val="es-ES_tradnl" w:eastAsia="es-ES"/>
        </w:rPr>
        <w:t xml:space="preserve">I </w:t>
      </w:r>
      <w:r w:rsidRPr="002112A9">
        <w:rPr>
          <w:rFonts w:ascii="Calibri" w:eastAsia="Times New Roman" w:hAnsi="Calibri" w:cs="Calibri"/>
          <w:b/>
          <w:sz w:val="28"/>
          <w:lang w:val="es-ES_tradnl" w:eastAsia="es-ES"/>
        </w:rPr>
        <w:t>-PENALIDADES Y RESOLUCIÓN DEL CONTRATO</w:t>
      </w:r>
    </w:p>
    <w:p w:rsidR="009D1150" w:rsidRDefault="009D1150" w:rsidP="009D1150">
      <w:pPr>
        <w:widowControl w:val="0"/>
        <w:spacing w:after="0" w:line="240" w:lineRule="auto"/>
        <w:jc w:val="center"/>
        <w:rPr>
          <w:rFonts w:ascii="Calibri" w:eastAsia="Times New Roman" w:hAnsi="Calibri" w:cs="Calibri"/>
          <w:b/>
          <w:sz w:val="24"/>
          <w:lang w:val="es-ES_tradnl" w:eastAsia="es-ES"/>
        </w:rPr>
      </w:pPr>
    </w:p>
    <w:p w:rsidR="009D1150" w:rsidRDefault="009D1150" w:rsidP="0045428D">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sidR="000A7F7F">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instar la resolución del contrato en los supuestos que se describen a continuación:</w:t>
      </w:r>
    </w:p>
    <w:p w:rsidR="00863761" w:rsidRDefault="00863761" w:rsidP="009D1150">
      <w:pPr>
        <w:widowControl w:val="0"/>
        <w:spacing w:after="0" w:line="240" w:lineRule="auto"/>
        <w:rPr>
          <w:rFonts w:ascii="Calibri" w:eastAsia="Times New Roman" w:hAnsi="Calibri" w:cs="Calibri"/>
          <w:lang w:val="es-ES_tradnl" w:eastAsia="es-ES"/>
        </w:rPr>
      </w:pPr>
    </w:p>
    <w:p w:rsidR="009D1150" w:rsidRPr="00E13DF9" w:rsidRDefault="009D1150" w:rsidP="009D1150">
      <w:pPr>
        <w:widowControl w:val="0"/>
        <w:spacing w:after="0" w:line="240" w:lineRule="auto"/>
        <w:rPr>
          <w:rFonts w:ascii="Calibri" w:eastAsia="Times New Roman" w:hAnsi="Calibri" w:cs="Calibri"/>
          <w:b/>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rsidR="009D1150" w:rsidRDefault="009D1150" w:rsidP="009D1150">
      <w:pPr>
        <w:widowControl w:val="0"/>
        <w:spacing w:after="0" w:line="240" w:lineRule="auto"/>
        <w:jc w:val="both"/>
        <w:rPr>
          <w:rFonts w:ascii="Calibri" w:eastAsia="Times New Roman" w:hAnsi="Calibri" w:cs="Calibri"/>
          <w:lang w:val="es-ES_tradnl" w:eastAsia="es-ES"/>
        </w:rPr>
      </w:pPr>
    </w:p>
    <w:p w:rsidR="00C85C88" w:rsidRDefault="009D1150" w:rsidP="00C85C88">
      <w:pPr>
        <w:widowControl w:val="0"/>
        <w:spacing w:after="0" w:line="240" w:lineRule="auto"/>
        <w:jc w:val="both"/>
        <w:rPr>
          <w:color w:val="000000" w:themeColor="text1"/>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C85C88" w:rsidRPr="00FB4A59">
        <w:rPr>
          <w:color w:val="000000" w:themeColor="text1"/>
        </w:rPr>
        <w:t xml:space="preserve">En el caso de que el adjudicatario no </w:t>
      </w:r>
      <w:proofErr w:type="gramStart"/>
      <w:r w:rsidR="00C85C88" w:rsidRPr="00FB4A59">
        <w:rPr>
          <w:color w:val="000000" w:themeColor="text1"/>
        </w:rPr>
        <w:t>entregara</w:t>
      </w:r>
      <w:proofErr w:type="gramEnd"/>
      <w:r w:rsidR="00C85C88" w:rsidRPr="00FB4A59">
        <w:rPr>
          <w:color w:val="000000" w:themeColor="text1"/>
        </w:rPr>
        <w:t xml:space="preserve"> el Plan Matriz de Auditoría en el plazo fijado en el Pliego de Prescripciones Técnicas, se impondrá una penalidad </w:t>
      </w:r>
      <w:r w:rsidR="00C85C88">
        <w:rPr>
          <w:color w:val="000000" w:themeColor="text1"/>
        </w:rPr>
        <w:t xml:space="preserve">por cada día de retraso en la entrega </w:t>
      </w:r>
      <w:r w:rsidR="00C85C88" w:rsidRPr="00FB4A59">
        <w:rPr>
          <w:color w:val="000000" w:themeColor="text1"/>
        </w:rPr>
        <w:t xml:space="preserve">de </w:t>
      </w:r>
      <w:r w:rsidR="00C85C88">
        <w:rPr>
          <w:color w:val="000000" w:themeColor="text1"/>
        </w:rPr>
        <w:t>250</w:t>
      </w:r>
      <w:r w:rsidR="00C85C88" w:rsidRPr="00FB4A59">
        <w:rPr>
          <w:color w:val="000000" w:themeColor="text1"/>
        </w:rPr>
        <w:t xml:space="preserve"> euros.</w:t>
      </w:r>
    </w:p>
    <w:p w:rsidR="00C85C88" w:rsidRDefault="00C85C88" w:rsidP="003E3CCE">
      <w:pPr>
        <w:autoSpaceDE w:val="0"/>
        <w:autoSpaceDN w:val="0"/>
        <w:adjustRightInd w:val="0"/>
        <w:spacing w:after="0" w:line="240" w:lineRule="auto"/>
        <w:jc w:val="both"/>
        <w:rPr>
          <w:rFonts w:ascii="Calibri" w:eastAsia="Times New Roman" w:hAnsi="Calibri" w:cs="Calibri"/>
          <w:lang w:val="es-ES_tradnl" w:eastAsia="es-ES"/>
        </w:rPr>
      </w:pPr>
    </w:p>
    <w:p w:rsidR="00680005" w:rsidRDefault="00680005" w:rsidP="003E3CCE">
      <w:pPr>
        <w:autoSpaceDE w:val="0"/>
        <w:autoSpaceDN w:val="0"/>
        <w:adjustRightInd w:val="0"/>
        <w:spacing w:after="0" w:line="240" w:lineRule="auto"/>
        <w:jc w:val="both"/>
        <w:rPr>
          <w:rFonts w:ascii="Calibri" w:hAnsi="Calibri" w:cs="Calibri"/>
        </w:rPr>
      </w:pPr>
      <w:r>
        <w:rPr>
          <w:rFonts w:ascii="Calibri" w:hAnsi="Calibri" w:cs="Calibri"/>
        </w:rPr>
        <w:t xml:space="preserve">Por cada incumplimiento de los plazos dispuestos en la planificación acordada por el adjudicatario y el responsable del contrato asignado por FREMAP, se </w:t>
      </w:r>
      <w:r w:rsidR="003E3CCE">
        <w:rPr>
          <w:rFonts w:ascii="Calibri" w:hAnsi="Calibri" w:cs="Calibri"/>
        </w:rPr>
        <w:t>impondrá</w:t>
      </w:r>
      <w:r>
        <w:rPr>
          <w:rFonts w:ascii="Calibri" w:hAnsi="Calibri" w:cs="Calibri"/>
        </w:rPr>
        <w:t xml:space="preserve"> una</w:t>
      </w:r>
      <w:r w:rsidR="003E3CCE">
        <w:rPr>
          <w:rFonts w:ascii="Calibri" w:hAnsi="Calibri" w:cs="Calibri"/>
        </w:rPr>
        <w:t xml:space="preserve"> </w:t>
      </w:r>
      <w:r>
        <w:rPr>
          <w:rFonts w:ascii="Calibri" w:hAnsi="Calibri" w:cs="Calibri"/>
        </w:rPr>
        <w:t>penalidad</w:t>
      </w:r>
      <w:r w:rsidR="00C77B6B">
        <w:rPr>
          <w:rFonts w:ascii="Calibri" w:hAnsi="Calibri" w:cs="Calibri"/>
        </w:rPr>
        <w:t xml:space="preserve"> </w:t>
      </w:r>
      <w:r>
        <w:rPr>
          <w:rFonts w:ascii="Calibri" w:hAnsi="Calibri" w:cs="Calibri"/>
        </w:rPr>
        <w:t xml:space="preserve">a la empresa adjudicataria </w:t>
      </w:r>
      <w:r w:rsidR="00EC4BB7">
        <w:rPr>
          <w:rFonts w:ascii="Calibri" w:hAnsi="Calibri" w:cs="Calibri"/>
        </w:rPr>
        <w:t>de</w:t>
      </w:r>
      <w:r>
        <w:rPr>
          <w:rFonts w:ascii="Calibri" w:hAnsi="Calibri" w:cs="Calibri"/>
        </w:rPr>
        <w:t xml:space="preserve"> </w:t>
      </w:r>
      <w:r w:rsidR="00F0131F">
        <w:rPr>
          <w:rFonts w:ascii="Calibri" w:hAnsi="Calibri" w:cs="Calibri"/>
        </w:rPr>
        <w:t>250</w:t>
      </w:r>
      <w:r>
        <w:rPr>
          <w:rFonts w:ascii="Calibri" w:hAnsi="Calibri" w:cs="Calibri"/>
        </w:rPr>
        <w:t xml:space="preserve"> Euros. Se aplicará la penalidad </w:t>
      </w:r>
      <w:r w:rsidR="00C77B6B">
        <w:rPr>
          <w:rFonts w:ascii="Calibri" w:hAnsi="Calibri" w:cs="Calibri"/>
        </w:rPr>
        <w:t>por cada día de retraso sobre la fecha acordada para el inicio de la auditoría</w:t>
      </w:r>
    </w:p>
    <w:p w:rsidR="00544692" w:rsidRDefault="00544692" w:rsidP="009D4523">
      <w:pPr>
        <w:widowControl w:val="0"/>
        <w:spacing w:after="0" w:line="240" w:lineRule="auto"/>
        <w:jc w:val="both"/>
        <w:rPr>
          <w:rFonts w:ascii="Calibri" w:hAnsi="Calibri" w:cs="Calibri"/>
        </w:rPr>
      </w:pPr>
    </w:p>
    <w:p w:rsidR="00544692" w:rsidRDefault="00544692" w:rsidP="00544692">
      <w:pPr>
        <w:pStyle w:val="Default"/>
        <w:jc w:val="both"/>
        <w:rPr>
          <w:sz w:val="22"/>
          <w:szCs w:val="22"/>
        </w:rPr>
      </w:pPr>
      <w:r w:rsidRPr="006A181B">
        <w:rPr>
          <w:sz w:val="22"/>
          <w:szCs w:val="22"/>
        </w:rPr>
        <w:t xml:space="preserve">Si el licitador ofertara la realización </w:t>
      </w:r>
      <w:r w:rsidR="00EC4BB7" w:rsidRPr="006A181B">
        <w:rPr>
          <w:sz w:val="22"/>
          <w:szCs w:val="22"/>
        </w:rPr>
        <w:t>las acciones de difusión</w:t>
      </w:r>
      <w:r w:rsidRPr="006A181B">
        <w:rPr>
          <w:sz w:val="22"/>
          <w:szCs w:val="22"/>
        </w:rPr>
        <w:t xml:space="preserve">, pero no la realizará en el plazo de dos meses desde que FREMAP le indique que se proceda a la misma, FREMAP podrá </w:t>
      </w:r>
      <w:r w:rsidR="00EC4BB7" w:rsidRPr="006A181B">
        <w:rPr>
          <w:sz w:val="22"/>
          <w:szCs w:val="22"/>
        </w:rPr>
        <w:t xml:space="preserve">impondrá una penalidad a la empresa adjudicataria de </w:t>
      </w:r>
      <w:r w:rsidR="006A181B" w:rsidRPr="006A181B">
        <w:rPr>
          <w:sz w:val="22"/>
          <w:szCs w:val="22"/>
        </w:rPr>
        <w:t>100 euros.</w:t>
      </w:r>
      <w:r w:rsidR="006A181B">
        <w:rPr>
          <w:sz w:val="22"/>
          <w:szCs w:val="22"/>
        </w:rPr>
        <w:t xml:space="preserve"> </w:t>
      </w:r>
    </w:p>
    <w:p w:rsidR="00A1105B" w:rsidRDefault="00A1105B" w:rsidP="00FB4A59">
      <w:pPr>
        <w:widowControl w:val="0"/>
        <w:spacing w:after="0" w:line="240" w:lineRule="auto"/>
        <w:jc w:val="both"/>
        <w:rPr>
          <w:color w:val="000000" w:themeColor="text1"/>
        </w:rPr>
      </w:pPr>
    </w:p>
    <w:p w:rsidR="00A1105B" w:rsidRDefault="00C77B6B" w:rsidP="00FB4A59">
      <w:pPr>
        <w:widowControl w:val="0"/>
        <w:spacing w:after="0" w:line="240" w:lineRule="auto"/>
        <w:jc w:val="both"/>
        <w:rPr>
          <w:rFonts w:ascii="Calibri" w:hAnsi="Calibri"/>
          <w:lang w:eastAsia="es-ES"/>
        </w:rPr>
      </w:pPr>
      <w:r>
        <w:rPr>
          <w:color w:val="000000" w:themeColor="text1"/>
        </w:rPr>
        <w:t xml:space="preserve">Por el incumplimiento del plazo fijado para la entrega de los certificados en el Pliego de Prescripciones Técnicas, </w:t>
      </w:r>
      <w:r>
        <w:rPr>
          <w:rFonts w:ascii="Calibri" w:hAnsi="Calibri"/>
          <w:lang w:eastAsia="es-ES"/>
        </w:rPr>
        <w:t xml:space="preserve">se impondrá una penalidad por cada día de retraso sobre la fecha acordada para el inicio de la auditoría de 250 euros. </w:t>
      </w:r>
    </w:p>
    <w:p w:rsidR="000E22F5" w:rsidRDefault="000E22F5" w:rsidP="00FB4A59">
      <w:pPr>
        <w:widowControl w:val="0"/>
        <w:spacing w:after="0" w:line="240" w:lineRule="auto"/>
        <w:jc w:val="both"/>
        <w:rPr>
          <w:rFonts w:ascii="Calibri" w:hAnsi="Calibri"/>
          <w:lang w:eastAsia="es-ES"/>
        </w:rPr>
      </w:pPr>
    </w:p>
    <w:p w:rsidR="000E22F5" w:rsidRPr="00DA35E8" w:rsidRDefault="00394E5F" w:rsidP="00FB4A59">
      <w:pPr>
        <w:widowControl w:val="0"/>
        <w:spacing w:after="0" w:line="240" w:lineRule="auto"/>
        <w:jc w:val="both"/>
        <w:rPr>
          <w:b/>
          <w:color w:val="000000" w:themeColor="text1"/>
        </w:rPr>
      </w:pPr>
      <w:r>
        <w:rPr>
          <w:rFonts w:ascii="Calibri" w:hAnsi="Calibri"/>
          <w:lang w:eastAsia="es-ES"/>
        </w:rPr>
        <w:t xml:space="preserve">Si el licitador durante la ejecución del servicio no entregara actualización de la documentación obligatoria y sobre la coordinación de las actividades (alta de los trabajadores, relación de riesgos de actividad…), se impondrá una penalidad si en los 30 días naturales siguientes al envío del aviso de renovación de la documentación no se presentara la misma. A partir del día 31, se impondrá una penalidad por cada día de retraso de 100 euros. </w:t>
      </w:r>
    </w:p>
    <w:p w:rsidR="00680005" w:rsidRDefault="009D1150" w:rsidP="009D4523">
      <w:pPr>
        <w:autoSpaceDE w:val="0"/>
        <w:autoSpaceDN w:val="0"/>
        <w:adjustRightInd w:val="0"/>
        <w:spacing w:after="0" w:line="240" w:lineRule="auto"/>
        <w:jc w:val="both"/>
        <w:rPr>
          <w:rFonts w:ascii="Calibri" w:hAnsi="Calibri" w:cs="Calibri"/>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w:t>
      </w:r>
      <w:r w:rsidR="00680005">
        <w:rPr>
          <w:rFonts w:ascii="Calibri" w:hAnsi="Calibri" w:cs="Calibri"/>
        </w:rPr>
        <w:t xml:space="preserve">Si se produce un retraso en la prestación con respecto a la fecha fijada en la planificación acordada de más 1 mes, se </w:t>
      </w:r>
      <w:r w:rsidR="002E70EF">
        <w:rPr>
          <w:rFonts w:ascii="Calibri" w:hAnsi="Calibri" w:cs="Calibri"/>
        </w:rPr>
        <w:t>podrá resolver</w:t>
      </w:r>
      <w:r w:rsidR="00680005">
        <w:rPr>
          <w:rFonts w:ascii="Calibri" w:hAnsi="Calibri" w:cs="Calibri"/>
        </w:rPr>
        <w:t xml:space="preserve"> el contrato.</w:t>
      </w:r>
    </w:p>
    <w:p w:rsidR="00680005" w:rsidRDefault="00680005" w:rsidP="00680005">
      <w:pPr>
        <w:widowControl w:val="0"/>
        <w:spacing w:after="0" w:line="240" w:lineRule="auto"/>
        <w:jc w:val="both"/>
        <w:rPr>
          <w:rFonts w:ascii="Calibri" w:eastAsia="Times New Roman" w:hAnsi="Calibri" w:cs="Calibri"/>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rsidR="00916EE3" w:rsidRDefault="009D1150" w:rsidP="009E6309">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p>
    <w:p w:rsidR="00B72C3F" w:rsidRPr="009E6309" w:rsidRDefault="009D1150" w:rsidP="009E6309">
      <w:pPr>
        <w:autoSpaceDE w:val="0"/>
        <w:autoSpaceDN w:val="0"/>
        <w:adjustRightInd w:val="0"/>
        <w:spacing w:after="0" w:line="240" w:lineRule="auto"/>
        <w:rPr>
          <w:rFonts w:ascii="Calibri" w:hAnsi="Calibri" w:cs="Calibri"/>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w:t>
      </w:r>
      <w:r w:rsidR="009E6309">
        <w:rPr>
          <w:rFonts w:ascii="Calibri" w:hAnsi="Calibri" w:cs="Calibri"/>
        </w:rPr>
        <w:t>Podrá ser causa de resolución del contrato el incumplimiento de lo señalado en los pliegos respecto a la prestación objeto del contrato.</w:t>
      </w:r>
    </w:p>
    <w:p w:rsidR="009D1150" w:rsidRDefault="009D1150" w:rsidP="009D1150">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rsidR="00EB229E" w:rsidRDefault="009D1150" w:rsidP="009E6309">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p>
    <w:p w:rsidR="009E6309" w:rsidRDefault="009D1150" w:rsidP="002E70EF">
      <w:pPr>
        <w:autoSpaceDE w:val="0"/>
        <w:autoSpaceDN w:val="0"/>
        <w:adjustRightInd w:val="0"/>
        <w:spacing w:after="0" w:line="240" w:lineRule="auto"/>
        <w:rPr>
          <w:rFonts w:ascii="Calibri" w:hAnsi="Calibri" w:cs="Calibri"/>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w:t>
      </w:r>
      <w:r w:rsidR="009E6309">
        <w:rPr>
          <w:rFonts w:ascii="Calibri" w:hAnsi="Calibri" w:cs="Calibri"/>
        </w:rPr>
        <w:t>Podrá ser causa de resolución del contrato el incumplimiento de lo señalado en el compromiso de</w:t>
      </w:r>
      <w:r w:rsidR="002E70EF">
        <w:rPr>
          <w:rFonts w:ascii="Calibri" w:hAnsi="Calibri" w:cs="Calibri"/>
        </w:rPr>
        <w:t xml:space="preserve"> </w:t>
      </w:r>
      <w:r w:rsidR="009E6309">
        <w:rPr>
          <w:rFonts w:ascii="Calibri" w:hAnsi="Calibri" w:cs="Calibri"/>
        </w:rPr>
        <w:t>adscripción de medios.</w:t>
      </w:r>
    </w:p>
    <w:p w:rsidR="009E6309" w:rsidRDefault="009E6309" w:rsidP="009E6309">
      <w:pPr>
        <w:widowControl w:val="0"/>
        <w:spacing w:after="0" w:line="240" w:lineRule="auto"/>
        <w:jc w:val="both"/>
        <w:rPr>
          <w:rFonts w:ascii="Calibri" w:hAnsi="Calibri" w:cs="Calibri"/>
        </w:rPr>
      </w:pPr>
    </w:p>
    <w:p w:rsidR="009D1150" w:rsidRPr="00BA53D0" w:rsidRDefault="009D1150" w:rsidP="009E6309">
      <w:pPr>
        <w:widowControl w:val="0"/>
        <w:spacing w:after="0" w:line="240" w:lineRule="auto"/>
        <w:jc w:val="both"/>
        <w:rPr>
          <w:rFonts w:ascii="Calibri" w:eastAsia="Times New Roman" w:hAnsi="Calibri" w:cs="Calibri"/>
          <w:u w:val="single"/>
          <w:lang w:val="es-ES_tradnl" w:eastAsia="es-ES"/>
        </w:rPr>
      </w:pPr>
      <w:r w:rsidRPr="00BA53D0">
        <w:rPr>
          <w:rFonts w:ascii="Calibri" w:eastAsia="Times New Roman" w:hAnsi="Calibri" w:cs="Calibri"/>
          <w:u w:val="single"/>
          <w:lang w:val="es-ES_tradnl" w:eastAsia="es-ES"/>
        </w:rPr>
        <w:t>Incumplimiento de las condiciones especiales de ejecución</w:t>
      </w:r>
    </w:p>
    <w:p w:rsidR="009D1150" w:rsidRDefault="009D1150" w:rsidP="009D1150">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lastRenderedPageBreak/>
        <w:t>Penalidades</w:t>
      </w:r>
      <w:r>
        <w:rPr>
          <w:rFonts w:ascii="Calibri" w:eastAsia="Times New Roman" w:hAnsi="Calibri" w:cs="Calibri"/>
          <w:lang w:val="es-ES_tradnl" w:eastAsia="es-ES"/>
        </w:rPr>
        <w:t xml:space="preserve">: </w:t>
      </w:r>
    </w:p>
    <w:p w:rsidR="000E5E70" w:rsidRPr="00C62732" w:rsidRDefault="009D1150" w:rsidP="00C62732">
      <w:pPr>
        <w:autoSpaceDE w:val="0"/>
        <w:autoSpaceDN w:val="0"/>
        <w:adjustRightInd w:val="0"/>
        <w:spacing w:after="0" w:line="240" w:lineRule="auto"/>
        <w:rPr>
          <w:rFonts w:ascii="Calibri" w:hAnsi="Calibri" w:cs="Calibri"/>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w:t>
      </w:r>
      <w:r w:rsidR="0016425D">
        <w:rPr>
          <w:rFonts w:ascii="Calibri" w:eastAsia="Times New Roman" w:hAnsi="Calibri" w:cs="Calibri"/>
          <w:lang w:val="es-ES_tradnl" w:eastAsia="es-ES"/>
        </w:rPr>
        <w:t xml:space="preserve"> </w:t>
      </w:r>
      <w:r w:rsidR="00C62732">
        <w:rPr>
          <w:rFonts w:ascii="Calibri" w:hAnsi="Calibri" w:cs="Calibri"/>
        </w:rPr>
        <w:t xml:space="preserve">Podrá ser causa de resolución del contrato el incumplimiento de lo señalado en el pliego respecto de las condiciones </w:t>
      </w:r>
      <w:r w:rsidR="00A54353">
        <w:rPr>
          <w:rFonts w:ascii="Calibri" w:hAnsi="Calibri" w:cs="Calibri"/>
        </w:rPr>
        <w:t>especiales de ejecución.</w:t>
      </w:r>
      <w:bookmarkStart w:id="0" w:name="_GoBack"/>
      <w:bookmarkEnd w:id="0"/>
    </w:p>
    <w:sectPr w:rsidR="000E5E70" w:rsidRPr="00C62732">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A12" w:rsidRDefault="00A25A12" w:rsidP="00A57B37">
      <w:pPr>
        <w:spacing w:after="0" w:line="240" w:lineRule="auto"/>
      </w:pPr>
      <w:r>
        <w:separator/>
      </w:r>
    </w:p>
  </w:endnote>
  <w:endnote w:type="continuationSeparator" w:id="0">
    <w:p w:rsidR="00A25A12" w:rsidRDefault="00A25A12"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A54353">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A54353">
              <w:rPr>
                <w:b/>
                <w:bCs/>
                <w:noProof/>
              </w:rPr>
              <w:t>2</w:t>
            </w:r>
            <w:r>
              <w:rPr>
                <w:b/>
                <w:bCs/>
                <w:sz w:val="24"/>
                <w:szCs w:val="24"/>
              </w:rPr>
              <w:fldChar w:fldCharType="end"/>
            </w:r>
          </w:p>
        </w:sdtContent>
      </w:sdt>
    </w:sdtContent>
  </w:sdt>
  <w:p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A12" w:rsidRDefault="00A25A12" w:rsidP="00A57B37">
      <w:pPr>
        <w:spacing w:after="0" w:line="240" w:lineRule="auto"/>
      </w:pPr>
      <w:r>
        <w:separator/>
      </w:r>
    </w:p>
  </w:footnote>
  <w:footnote w:type="continuationSeparator" w:id="0">
    <w:p w:rsidR="00A25A12" w:rsidRDefault="00A25A12"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2A9" w:rsidRPr="00B57996" w:rsidRDefault="00A57B37" w:rsidP="00B57996">
    <w:pPr>
      <w:pStyle w:val="Encabezado"/>
      <w:ind w:left="1416"/>
      <w:jc w:val="center"/>
      <w:rPr>
        <w:sz w:val="18"/>
      </w:rPr>
    </w:pPr>
    <w:r w:rsidRPr="00A40A5A">
      <w:rPr>
        <w:rFonts w:ascii="Times New Roman" w:hAnsi="Times New Roman" w:cs="Times New Roman"/>
        <w:b/>
        <w:noProof/>
        <w:sz w:val="20"/>
        <w:szCs w:val="24"/>
        <w:lang w:eastAsia="es-ES"/>
      </w:rPr>
      <w:drawing>
        <wp:anchor distT="0" distB="0" distL="114300" distR="114300" simplePos="0" relativeHeight="251658240" behindDoc="0" locked="0" layoutInCell="1" allowOverlap="1">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860283" w:rsidRPr="00A40A5A">
      <w:rPr>
        <w:b/>
        <w:sz w:val="18"/>
      </w:rPr>
      <w:t>LICT/</w:t>
    </w:r>
    <w:r w:rsidR="00A40A5A" w:rsidRPr="00A40A5A">
      <w:rPr>
        <w:b/>
        <w:sz w:val="18"/>
      </w:rPr>
      <w:t xml:space="preserve">99/138/2020/0147 </w:t>
    </w:r>
    <w:r w:rsidR="00A40A5A" w:rsidRPr="00A40A5A">
      <w:rPr>
        <w:sz w:val="18"/>
      </w:rPr>
      <w:t>Contratación de los servicios de auditoría y certificación en materia de Calidad, Medio Ambient</w:t>
    </w:r>
    <w:r w:rsidR="00BD0EEA">
      <w:rPr>
        <w:sz w:val="18"/>
      </w:rPr>
      <w:t xml:space="preserve">e, Seguridad de la Información </w:t>
    </w:r>
    <w:r w:rsidR="00A40A5A" w:rsidRPr="00A40A5A">
      <w:rPr>
        <w:sz w:val="18"/>
      </w:rPr>
      <w:t>y verificación del Informe anual de Sostenibilidad/Gobierno Corporativo de FREMAP, Mutua Colaboradora con la Seguridad Social nº</w:t>
    </w:r>
    <w:r w:rsidR="00A40A5A">
      <w:rPr>
        <w:sz w:val="18"/>
      </w:rPr>
      <w:t>61.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0A0"/>
    <w:rsid w:val="00047F68"/>
    <w:rsid w:val="00060D21"/>
    <w:rsid w:val="00097AE1"/>
    <w:rsid w:val="000A7F7F"/>
    <w:rsid w:val="000E22F5"/>
    <w:rsid w:val="000E5E70"/>
    <w:rsid w:val="0016425D"/>
    <w:rsid w:val="00174231"/>
    <w:rsid w:val="001A7E2F"/>
    <w:rsid w:val="001E1544"/>
    <w:rsid w:val="001F188E"/>
    <w:rsid w:val="001F3182"/>
    <w:rsid w:val="002112A9"/>
    <w:rsid w:val="00223255"/>
    <w:rsid w:val="002624C9"/>
    <w:rsid w:val="002E70EF"/>
    <w:rsid w:val="00325305"/>
    <w:rsid w:val="00335FE8"/>
    <w:rsid w:val="0034392E"/>
    <w:rsid w:val="003562B5"/>
    <w:rsid w:val="00394E5F"/>
    <w:rsid w:val="003D22D9"/>
    <w:rsid w:val="003E3CCE"/>
    <w:rsid w:val="003F6FEE"/>
    <w:rsid w:val="00411B9F"/>
    <w:rsid w:val="00423F8B"/>
    <w:rsid w:val="00425E1B"/>
    <w:rsid w:val="00425E49"/>
    <w:rsid w:val="0045428D"/>
    <w:rsid w:val="004B4362"/>
    <w:rsid w:val="00510E81"/>
    <w:rsid w:val="0054344A"/>
    <w:rsid w:val="00544692"/>
    <w:rsid w:val="0058519C"/>
    <w:rsid w:val="005C23DF"/>
    <w:rsid w:val="005F401D"/>
    <w:rsid w:val="0060279D"/>
    <w:rsid w:val="00617D0D"/>
    <w:rsid w:val="006223C8"/>
    <w:rsid w:val="00680005"/>
    <w:rsid w:val="00684490"/>
    <w:rsid w:val="006868B8"/>
    <w:rsid w:val="00692874"/>
    <w:rsid w:val="006A181B"/>
    <w:rsid w:val="006A571E"/>
    <w:rsid w:val="006B3FCB"/>
    <w:rsid w:val="006E2121"/>
    <w:rsid w:val="00730FEB"/>
    <w:rsid w:val="00740F65"/>
    <w:rsid w:val="007A0679"/>
    <w:rsid w:val="007C7787"/>
    <w:rsid w:val="007E17A2"/>
    <w:rsid w:val="007E2871"/>
    <w:rsid w:val="007F68FB"/>
    <w:rsid w:val="0080528E"/>
    <w:rsid w:val="00815108"/>
    <w:rsid w:val="00836DC6"/>
    <w:rsid w:val="00860283"/>
    <w:rsid w:val="00863761"/>
    <w:rsid w:val="008D4F6D"/>
    <w:rsid w:val="008E744D"/>
    <w:rsid w:val="008F1012"/>
    <w:rsid w:val="00916EE3"/>
    <w:rsid w:val="009333C5"/>
    <w:rsid w:val="009463DE"/>
    <w:rsid w:val="0097765F"/>
    <w:rsid w:val="009A698A"/>
    <w:rsid w:val="009B3FF5"/>
    <w:rsid w:val="009C0A7B"/>
    <w:rsid w:val="009C36BA"/>
    <w:rsid w:val="009C66A4"/>
    <w:rsid w:val="009D1150"/>
    <w:rsid w:val="009D2E3B"/>
    <w:rsid w:val="009D4523"/>
    <w:rsid w:val="009E50C7"/>
    <w:rsid w:val="009E614E"/>
    <w:rsid w:val="009E6309"/>
    <w:rsid w:val="009F62FF"/>
    <w:rsid w:val="00A1105B"/>
    <w:rsid w:val="00A25A12"/>
    <w:rsid w:val="00A40A5A"/>
    <w:rsid w:val="00A47ED3"/>
    <w:rsid w:val="00A54353"/>
    <w:rsid w:val="00A57B37"/>
    <w:rsid w:val="00A700A0"/>
    <w:rsid w:val="00AB4200"/>
    <w:rsid w:val="00AD0216"/>
    <w:rsid w:val="00AF2C26"/>
    <w:rsid w:val="00B00D21"/>
    <w:rsid w:val="00B36488"/>
    <w:rsid w:val="00B506B5"/>
    <w:rsid w:val="00B57996"/>
    <w:rsid w:val="00B717C3"/>
    <w:rsid w:val="00B72C21"/>
    <w:rsid w:val="00B72C3F"/>
    <w:rsid w:val="00B83F94"/>
    <w:rsid w:val="00B91DF5"/>
    <w:rsid w:val="00BA53D0"/>
    <w:rsid w:val="00BB319B"/>
    <w:rsid w:val="00BC4E31"/>
    <w:rsid w:val="00BD0EEA"/>
    <w:rsid w:val="00BE36C9"/>
    <w:rsid w:val="00C01E9E"/>
    <w:rsid w:val="00C10E86"/>
    <w:rsid w:val="00C17B82"/>
    <w:rsid w:val="00C25A74"/>
    <w:rsid w:val="00C4010C"/>
    <w:rsid w:val="00C401CA"/>
    <w:rsid w:val="00C5434F"/>
    <w:rsid w:val="00C62732"/>
    <w:rsid w:val="00C77B6B"/>
    <w:rsid w:val="00C80819"/>
    <w:rsid w:val="00C85C88"/>
    <w:rsid w:val="00C9304B"/>
    <w:rsid w:val="00CA4255"/>
    <w:rsid w:val="00CB2726"/>
    <w:rsid w:val="00CB5611"/>
    <w:rsid w:val="00CE3CCE"/>
    <w:rsid w:val="00CE74DF"/>
    <w:rsid w:val="00CF68AC"/>
    <w:rsid w:val="00D05772"/>
    <w:rsid w:val="00D74C3E"/>
    <w:rsid w:val="00DF4547"/>
    <w:rsid w:val="00E03339"/>
    <w:rsid w:val="00E13DF9"/>
    <w:rsid w:val="00E15813"/>
    <w:rsid w:val="00E169AC"/>
    <w:rsid w:val="00E3364A"/>
    <w:rsid w:val="00E517B3"/>
    <w:rsid w:val="00E542E8"/>
    <w:rsid w:val="00E572B3"/>
    <w:rsid w:val="00E666F1"/>
    <w:rsid w:val="00E951D8"/>
    <w:rsid w:val="00EB1153"/>
    <w:rsid w:val="00EB229E"/>
    <w:rsid w:val="00EB663A"/>
    <w:rsid w:val="00EC4BB7"/>
    <w:rsid w:val="00EF2111"/>
    <w:rsid w:val="00EF74C8"/>
    <w:rsid w:val="00F0131F"/>
    <w:rsid w:val="00F42AC5"/>
    <w:rsid w:val="00FB4A59"/>
    <w:rsid w:val="00FF55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B7D4F9"/>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 w:type="paragraph" w:customStyle="1" w:styleId="Default">
    <w:name w:val="Default"/>
    <w:rsid w:val="0054469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94F9D-9D71-4365-B4A2-7CEBF794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406</Words>
  <Characters>2233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Mallo Rodríguez, Yenel</cp:lastModifiedBy>
  <cp:revision>68</cp:revision>
  <cp:lastPrinted>2018-09-06T06:37:00Z</cp:lastPrinted>
  <dcterms:created xsi:type="dcterms:W3CDTF">2019-09-02T08:59:00Z</dcterms:created>
  <dcterms:modified xsi:type="dcterms:W3CDTF">2021-01-31T10:20:00Z</dcterms:modified>
</cp:coreProperties>
</file>